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</w:rPr>
        <w:drawing>
          <wp:inline distB="114300" distT="114300" distL="114300" distR="114300">
            <wp:extent cx="3048000" cy="304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API REST MAYA - Théo Massompierre - BTS SIO SLAM 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03 Mars 2026 - Lycée Robert Schuman - Metz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b w:val="1"/>
          <w:bCs w:val="1"/>
          <w:color w:val="ff0000"/>
          <w:sz w:val="20"/>
          <w:szCs w:val="20"/>
        </w:rPr>
      </w:pPr>
      <w:bookmarkStart w:colFirst="0" w:colLast="0" w:name="_95ts9tcr6soj" w:id="0"/>
      <w:bookmarkEnd w:id="0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1. Introduction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Définition d'une API et du style architectural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REST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Objectifs du projet : passer d'un monolithe à une architecture orientée services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SOA</w:t>
      </w:r>
      <w:r w:rsidDel="00000000" w:rsidR="00000000" w:rsidRPr="00000000">
        <w:rPr>
          <w:sz w:val="16"/>
          <w:szCs w:val="16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rPr>
          <w:b w:val="1"/>
          <w:bCs w:val="1"/>
          <w:color w:val="ff0000"/>
          <w:sz w:val="20"/>
          <w:szCs w:val="20"/>
        </w:rPr>
      </w:pPr>
      <w:bookmarkStart w:colFirst="0" w:colLast="0" w:name="_k42lu2uts5jn" w:id="1"/>
      <w:bookmarkEnd w:id="1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2. Architecture et Notions de Base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Les six principes de l'architecture REST (découplage, stateless, etc.).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Utilisation des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verbes HTTP</w:t>
      </w:r>
      <w:r w:rsidDel="00000000" w:rsidR="00000000" w:rsidRPr="00000000">
        <w:rPr>
          <w:sz w:val="16"/>
          <w:szCs w:val="16"/>
          <w:rtl w:val="0"/>
        </w:rPr>
        <w:t xml:space="preserve"> (GET, POST, PUT, PATCH, DELETE) pour les opérations CRUD.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Concepts clés :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Endpoints</w:t>
      </w:r>
      <w:r w:rsidDel="00000000" w:rsidR="00000000" w:rsidRPr="00000000">
        <w:rPr>
          <w:sz w:val="16"/>
          <w:szCs w:val="16"/>
          <w:rtl w:val="0"/>
        </w:rPr>
        <w:t xml:space="preserve">, sérialisation et formats de données (JSON, XML).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0" w:lineRule="auto"/>
        <w:rPr>
          <w:b w:val="1"/>
          <w:bCs w:val="1"/>
          <w:color w:val="ff0000"/>
          <w:sz w:val="20"/>
          <w:szCs w:val="20"/>
        </w:rPr>
      </w:pPr>
      <w:bookmarkStart w:colFirst="0" w:colLast="0" w:name="_59nvh1ivpumi" w:id="2"/>
      <w:bookmarkEnd w:id="2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3. Création de l'API avec Symfony et API-Platform (Projet Ludo)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Initialisation du projet et installation d'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API-Platform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Création d'une ressource (entité 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Mot</w:t>
      </w:r>
      <w:r w:rsidDel="00000000" w:rsidR="00000000" w:rsidRPr="00000000">
        <w:rPr>
          <w:sz w:val="16"/>
          <w:szCs w:val="16"/>
          <w:rtl w:val="0"/>
        </w:rPr>
        <w:t xml:space="preserve">) avec le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MakerBundle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Configuration de la base de données et exécution des migrations Doctrine.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Tests des points de terminaison via l'interface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Swagger UI</w:t>
      </w:r>
      <w:r w:rsidDel="00000000" w:rsidR="00000000" w:rsidRPr="00000000">
        <w:rPr>
          <w:sz w:val="16"/>
          <w:szCs w:val="16"/>
          <w:rtl w:val="0"/>
        </w:rPr>
        <w:t xml:space="preserve"> et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Postman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0" w:lineRule="auto"/>
        <w:rPr>
          <w:b w:val="1"/>
          <w:bCs w:val="1"/>
          <w:color w:val="ff0000"/>
          <w:sz w:val="20"/>
          <w:szCs w:val="20"/>
        </w:rPr>
      </w:pPr>
      <w:bookmarkStart w:colFirst="0" w:colLast="0" w:name="_q5sb7fhp9fs5" w:id="3"/>
      <w:bookmarkEnd w:id="3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4. Gestion Avancée : Images et Sérialisation (Projet Maya)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Configuration du support des images avec le bundle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VichUploader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Gestion de la désérialisation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Multipart</w:t>
      </w:r>
      <w:r w:rsidDel="00000000" w:rsidR="00000000" w:rsidRPr="00000000">
        <w:rPr>
          <w:sz w:val="16"/>
          <w:szCs w:val="16"/>
          <w:rtl w:val="0"/>
        </w:rPr>
        <w:t xml:space="preserve"> pour les transferts de fichiers.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Contrôle de l'exposition des données via les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groupes de sérialisation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read</w:t>
      </w:r>
      <w:r w:rsidDel="00000000" w:rsidR="00000000" w:rsidRPr="00000000">
        <w:rPr>
          <w:sz w:val="16"/>
          <w:szCs w:val="16"/>
          <w:rtl w:val="0"/>
        </w:rPr>
        <w:t xml:space="preserve">/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write</w:t>
      </w:r>
      <w:r w:rsidDel="00000000" w:rsidR="00000000" w:rsidRPr="00000000">
        <w:rPr>
          <w:sz w:val="16"/>
          <w:szCs w:val="16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Optimisation des requêtes avec les filtres de tri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ApiFilter</w:t>
      </w:r>
      <w:r w:rsidDel="00000000" w:rsidR="00000000" w:rsidRPr="00000000">
        <w:rPr>
          <w:sz w:val="16"/>
          <w:szCs w:val="16"/>
          <w:rtl w:val="0"/>
        </w:rPr>
        <w:t xml:space="preserve">).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Rule="auto"/>
        <w:rPr>
          <w:b w:val="1"/>
          <w:bCs w:val="1"/>
          <w:color w:val="ff0000"/>
          <w:sz w:val="20"/>
          <w:szCs w:val="20"/>
        </w:rPr>
      </w:pPr>
      <w:bookmarkStart w:colFirst="0" w:colLast="0" w:name="_v9g1kjxvug7a" w:id="4"/>
      <w:bookmarkEnd w:id="4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5. Consommation de l'API avec Flutter (Projet emaya)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Configuration du client mobile et ajout du package 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http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Création du modèle de données Dart et désérialisation JSON.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Mise en œuvre de la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programmation asynchrone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async</w:t>
      </w:r>
      <w:r w:rsidDel="00000000" w:rsidR="00000000" w:rsidRPr="00000000">
        <w:rPr>
          <w:sz w:val="16"/>
          <w:szCs w:val="16"/>
          <w:rtl w:val="0"/>
        </w:rPr>
        <w:t xml:space="preserve">, 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await</w:t>
      </w:r>
      <w:r w:rsidDel="00000000" w:rsidR="00000000" w:rsidRPr="00000000">
        <w:rPr>
          <w:sz w:val="16"/>
          <w:szCs w:val="16"/>
          <w:rtl w:val="0"/>
        </w:rPr>
        <w:t xml:space="preserve">, </w:t>
      </w:r>
      <w:r w:rsidDel="00000000" w:rsidR="00000000" w:rsidRPr="00000000">
        <w:rPr>
          <w:color w:val="188038"/>
          <w:sz w:val="16"/>
          <w:szCs w:val="16"/>
          <w:rtl w:val="0"/>
        </w:rPr>
        <w:t xml:space="preserve">Future</w:t>
      </w:r>
      <w:r w:rsidDel="00000000" w:rsidR="00000000" w:rsidRPr="00000000">
        <w:rPr>
          <w:sz w:val="16"/>
          <w:szCs w:val="16"/>
          <w:rtl w:val="0"/>
        </w:rPr>
        <w:t xml:space="preserve">).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Développement de l'interface utilisateur pour l'affichage des ressources.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b w:val="1"/>
          <w:bCs w:val="1"/>
          <w:color w:val="ff0000"/>
          <w:sz w:val="20"/>
          <w:szCs w:val="20"/>
        </w:rPr>
      </w:pPr>
      <w:bookmarkStart w:colFirst="0" w:colLast="0" w:name="_yonwtmmz1ogo" w:id="5"/>
      <w:bookmarkEnd w:id="5"/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6. Conclusion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Avantages en termes de portabilité, évolutivité et productivité.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Importance de la sécurité (OAuth, HTTPS, Quotas).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before="0" w:lineRule="auto"/>
        <w:rPr>
          <w:b w:val="1"/>
          <w:bCs w:val="1"/>
          <w:color w:val="ff0000"/>
          <w:sz w:val="28"/>
          <w:szCs w:val="28"/>
        </w:rPr>
      </w:pPr>
      <w:bookmarkStart w:colFirst="0" w:colLast="0" w:name="_834v1k8sw1vj" w:id="6"/>
      <w:bookmarkEnd w:id="6"/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1. Introduction</w:t>
      </w:r>
    </w:p>
    <w:p w:rsidR="00000000" w:rsidDel="00000000" w:rsidP="00000000" w:rsidRDefault="00000000" w:rsidRPr="00000000" w14:paraId="00000020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API</w:t>
      </w:r>
      <w:r w:rsidDel="00000000" w:rsidR="00000000" w:rsidRPr="00000000">
        <w:rPr>
          <w:sz w:val="20"/>
          <w:szCs w:val="20"/>
          <w:rtl w:val="0"/>
        </w:rPr>
        <w:t xml:space="preserve"> (Application Programming Interface) est un ensemble normalisé de classes et de fonctions servant de façade par laquelle un logiciel offre des services à d’autres applications. Le style architectural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REST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REpresentational State Transfer</w:t>
      </w:r>
      <w:r w:rsidDel="00000000" w:rsidR="00000000" w:rsidRPr="00000000">
        <w:rPr>
          <w:sz w:val="20"/>
          <w:szCs w:val="20"/>
          <w:rtl w:val="0"/>
        </w:rPr>
        <w:t xml:space="preserve">), basé sur le protocole HTTP, définit la manière dont le serveur transfère une représentation des ressources demandées au client.</w:t>
      </w:r>
    </w:p>
    <w:p w:rsidR="00000000" w:rsidDel="00000000" w:rsidP="00000000" w:rsidRDefault="00000000" w:rsidRPr="00000000" w14:paraId="00000021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L'objectif de ce projet est de faire évoluer les applications (Ludo, Maya) vers une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Architecture Orientée Services (SOA)</w:t>
      </w:r>
      <w:r w:rsidDel="00000000" w:rsidR="00000000" w:rsidRPr="00000000">
        <w:rPr>
          <w:sz w:val="20"/>
          <w:szCs w:val="20"/>
          <w:rtl w:val="0"/>
        </w:rPr>
        <w:t xml:space="preserve"> ou microservices. Ce modèle permet de découpler le backend du frontend pour favoriser la réutilisation des services par différents types de clients, tels que des applications mobiles Flutter ou des sites web Symfony.</w:t>
      </w:r>
    </w:p>
    <w:p w:rsidR="00000000" w:rsidDel="00000000" w:rsidP="00000000" w:rsidRDefault="00000000" w:rsidRPr="00000000" w14:paraId="00000022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Pour ce faire, nous utilisons le framework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Symfony</w:t>
      </w:r>
      <w:r w:rsidDel="00000000" w:rsidR="00000000" w:rsidRPr="00000000">
        <w:rPr>
          <w:sz w:val="20"/>
          <w:szCs w:val="20"/>
          <w:rtl w:val="0"/>
        </w:rPr>
        <w:t xml:space="preserve"> couplé à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API-Platform</w:t>
      </w:r>
      <w:r w:rsidDel="00000000" w:rsidR="00000000" w:rsidRPr="00000000">
        <w:rPr>
          <w:sz w:val="20"/>
          <w:szCs w:val="20"/>
          <w:rtl w:val="0"/>
        </w:rPr>
        <w:t xml:space="preserve">, un outil spécialisé pour générer rapidement des API REST robustes et documentées.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Voici la suite et la fin de votre compte rendu détaillé, structuré selon les sections de votre sommaire, en excluant l'introduction comme demandé.</w:t>
      </w:r>
    </w:p>
    <w:p w:rsidR="00000000" w:rsidDel="00000000" w:rsidP="00000000" w:rsidRDefault="00000000" w:rsidRPr="00000000" w14:paraId="00000024">
      <w:pPr>
        <w:rPr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cf9rq2dwr0c0" w:id="7"/>
      <w:bookmarkEnd w:id="7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2. Architecture et Notions de Base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L'architecture </w:t>
      </w: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REST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(</w:t>
      </w:r>
      <w:r w:rsidDel="00000000" w:rsidR="00000000" w:rsidRPr="00000000">
        <w:rPr>
          <w:i w:val="1"/>
          <w:iCs w:val="1"/>
          <w:color w:val="1f1f1f"/>
          <w:sz w:val="20"/>
          <w:szCs w:val="20"/>
          <w:rtl w:val="0"/>
        </w:rPr>
        <w:t xml:space="preserve">Representational State Transfer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) est un style de conception logicielle pour les systèmes distribués, s'appuyant sur les standards du protocole HTTP.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w1vt9sz9hbyy" w:id="8"/>
      <w:bookmarkEnd w:id="8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Les six principes fondamentaux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Découplage client-serveur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Le client ne connaît que l'URI de la ressource, tandis que le serveur transmet ses données uniquement via HTTP.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Absence d'état (Stateless)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Le serveur ne maintient aucune session ; chaque requête doit contenir toutes les informations nécessaires à son traitement.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Interface uniforme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La méthode d'identification et de gestion des informations est standardisée pour permettre un transfert fluide.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Mise en cache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Les données peuvent être stockées temporairement pour améliorer la rapidité de réponse.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Système en couches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L'organisation hiérarchique des serveurs (proxy, répartition de charge) améliore la sécurité.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Code à la demande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Le serveur peut envoyer du code exécutable (ex: JavaScript) pour étendre les fonctions du client.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5kj9inty8ngy" w:id="9"/>
      <w:bookmarkEnd w:id="9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Opérations et Données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Verbes HTTP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REST utilise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GET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lire,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POST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créer,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DELETE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supprimer, ainsi que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PUT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(remplacement) et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PATCH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(modification partielle).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Points de terminaison (Endpoints)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Ce sont les URLs spécifiques permettant d'accéder aux ressources (ex: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http://example.com/api/mots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Sérialisation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Processus indispensable de conversion d'un objet en flux d'octets (souvent au format JSON ou XML) pour son transfert.</w:t>
      </w:r>
    </w:p>
    <w:p w:rsidR="00000000" w:rsidDel="00000000" w:rsidP="00000000" w:rsidRDefault="00000000" w:rsidRPr="00000000" w14:paraId="00000032">
      <w:pPr>
        <w:rPr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1kus9vmmv4gu" w:id="10"/>
      <w:bookmarkEnd w:id="10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3. Création de l'API avec Symfony et API-Platform (Projet Ludo)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Cette étape décrit la mise en œuvre technique d'une API simple pour gérer une collection de mots.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ou1x0sep86lo" w:id="11"/>
      <w:bookmarkEnd w:id="1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Initialisation du projet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Squelette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Création de l'application via la commande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symfony new ludo-api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sans l'option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--full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rester sur un projet léger.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Installation d'API Platform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Ajout du framework via Composer, en refusant la configuration Docker pour ce tutoriel.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Configuration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Modification du titre dans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api_platform.yaml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personnaliser l'interface Swagger.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sx32yt1izlou" w:id="12"/>
      <w:bookmarkEnd w:id="12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Développement de la ressource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Entité "Mot"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Utilisation du MakerBundle pour créer la classe et la marquer immédiatement comme ressource API.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Metadata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L'attribut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#[ApiResource]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expose automatiquement un CRUD complet, tandis que les attributs Doctrine (ex: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#[ORM\Column]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) assurent le lien avec la base de données.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Base de données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Référencement de l'URL de connexion dans le fichier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.env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et exécution des migrations pour créer physiquement la table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mot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53ti7iwmeu5g" w:id="13"/>
      <w:bookmarkEnd w:id="13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Validation et Tests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Swagger UI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Utilisation de l'interface graphique à l'adresse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/api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tester les opérations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GET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(avec pagination par défaut à 30 éléments) et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POST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Codes de réponse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Vérification des statuts HTTP, comme le code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201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lors d'une création réussie.</w:t>
      </w:r>
    </w:p>
    <w:p w:rsidR="00000000" w:rsidDel="00000000" w:rsidP="00000000" w:rsidRDefault="00000000" w:rsidRPr="00000000" w14:paraId="00000040">
      <w:pPr>
        <w:rPr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de1l5mvpzt8e" w:id="14"/>
      <w:bookmarkEnd w:id="14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4. Gestion Avancée : Images et Sérialisation (Projet Maya)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Pour des besoins plus complexes, l'API doit être capable de traiter des fichiers binaires et de filtrer les données exposées.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i5akz4gyupdr" w:id="15"/>
      <w:bookmarkEnd w:id="15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Traitement des images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VichUploaderBundle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Installation de ce bundle pour lier physiquement les téléchargements de fichiers aux entités Doctrine.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Configuration Multipart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Ajout du format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multipart/form-data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dans la configuration d'API Platform pour autoriser l'envoi d'images.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Décodeur personnalisé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Création d'un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MultipartDecoder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car Symfony ne décode pas nativement ce format complexe.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yi9icuuoi8k8" w:id="16"/>
      <w:bookmarkEnd w:id="16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Optimisation de la ressource "Categorie"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Groupes de sérialisation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Utilisation de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normalizationContext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(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read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) et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denormalizationContext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(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write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) pour définir quels attributs sont visibles ou modifiables.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Filtres de tri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Implémentation de l'attribut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#[ApiFilter]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avec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OrderFilter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permettre le tri automatique de la liste des catégories par libellé.</w:t>
      </w:r>
    </w:p>
    <w:p w:rsidR="00000000" w:rsidDel="00000000" w:rsidP="00000000" w:rsidRDefault="00000000" w:rsidRPr="00000000" w14:paraId="0000004A">
      <w:pPr>
        <w:rPr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a4z8espr1azj" w:id="17"/>
      <w:bookmarkEnd w:id="17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5. Consommation de l'API avec Flutter (Projet emaya)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L'application mobile joue ici le rôle de "consommateur" de l'API développée précédemment.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5txvwp93qs2z" w:id="18"/>
      <w:bookmarkEnd w:id="18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Configuration et Modélisation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Dépendances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Ajout du package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http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gérer les requêtes réseau.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Modèle Dart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Création de la classe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Categorie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avec une méthode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factory Categorie.fromJson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transformer la réponse JSON brute en objet manipulable.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Connexion locale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Utilisation de l'adresse IP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10.0.2.2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dans le code Flutter pour permettre à l'émulateur Android d'accéder au serveur local de développement.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97fl7sri7v21" w:id="19"/>
      <w:bookmarkEnd w:id="19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Logique de récupération (Asynchronisme)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Service API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Création d'une classe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CategorieApi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utilisant des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Future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envoyer des requêtes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GET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sans bloquer l'application.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Mots-clés </w:t>
      </w:r>
      <w:r w:rsidDel="00000000" w:rsidR="00000000" w:rsidRPr="00000000">
        <w:rPr>
          <w:b w:val="1"/>
          <w:bCs w:val="1"/>
          <w:color w:val="444746"/>
          <w:sz w:val="20"/>
          <w:szCs w:val="20"/>
          <w:shd w:fill="e9eef6" w:val="clear"/>
          <w:rtl w:val="0"/>
        </w:rPr>
        <w:t xml:space="preserve">async/await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Pause de l'exécution d'une fonction jusqu'à ce que les données soient totalement récupérées du serveur.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Affichage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: Utilisation du widget </w:t>
      </w:r>
      <w:r w:rsidDel="00000000" w:rsidR="00000000" w:rsidRPr="00000000">
        <w:rPr>
          <w:color w:val="444746"/>
          <w:sz w:val="20"/>
          <w:szCs w:val="20"/>
          <w:shd w:fill="e9eef6" w:val="clear"/>
          <w:rtl w:val="0"/>
        </w:rPr>
        <w:t xml:space="preserve">Image.network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pour charger dynamiquement les images dont les URLs sont fournies par l'API.</w:t>
      </w:r>
    </w:p>
    <w:p w:rsidR="00000000" w:rsidDel="00000000" w:rsidP="00000000" w:rsidRDefault="00000000" w:rsidRPr="00000000" w14:paraId="00000055">
      <w:pPr>
        <w:rPr>
          <w:color w:val="1f1f1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4gx61ahewwf0" w:id="20"/>
      <w:bookmarkEnd w:id="20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6. Conclusion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Le passage d'une architecture monolithique à une architecture </w:t>
      </w: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SOA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via une API REST offre des bénéfices concrets en termes de </w:t>
      </w: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productivité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 et d'</w:t>
      </w: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évolutivité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color w:val="1f1f1f"/>
          <w:sz w:val="20"/>
          <w:szCs w:val="20"/>
          <w:rtl w:val="0"/>
        </w:rPr>
        <w:t xml:space="preserve">L'indépendance technologique permet de faire cohabiter un backend PHP performant avec une interface mobile Flutter moderne. Toutefois, cette ouverture nécessite une vigilance accrue sur la </w:t>
      </w:r>
      <w:r w:rsidDel="00000000" w:rsidR="00000000" w:rsidRPr="00000000">
        <w:rPr>
          <w:b w:val="1"/>
          <w:bCs w:val="1"/>
          <w:color w:val="1f1f1f"/>
          <w:sz w:val="20"/>
          <w:szCs w:val="20"/>
          <w:rtl w:val="0"/>
        </w:rPr>
        <w:t xml:space="preserve">sécurité</w:t>
      </w:r>
      <w:r w:rsidDel="00000000" w:rsidR="00000000" w:rsidRPr="00000000">
        <w:rPr>
          <w:color w:val="1f1f1f"/>
          <w:sz w:val="20"/>
          <w:szCs w:val="20"/>
          <w:rtl w:val="0"/>
        </w:rPr>
        <w:t xml:space="preserve">, notamment par l'usage de jetons (OAuth), le chiffrement TLS et la mise en place de quotas pour prévenir les abus.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